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0E" w:rsidRPr="006637EE" w:rsidRDefault="00CB4A0E" w:rsidP="006637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637EE">
        <w:rPr>
          <w:rFonts w:ascii="Arial" w:hAnsi="Arial" w:cs="Arial"/>
          <w:b/>
        </w:rPr>
        <w:t>PORTARIA ARSAL Nº</w:t>
      </w:r>
      <w:r w:rsidR="00876F1E" w:rsidRPr="006637EE">
        <w:rPr>
          <w:rFonts w:ascii="Arial" w:hAnsi="Arial" w:cs="Arial"/>
          <w:b/>
        </w:rPr>
        <w:t xml:space="preserve"> </w:t>
      </w:r>
      <w:r w:rsidR="00C33B58">
        <w:rPr>
          <w:rFonts w:ascii="Arial" w:hAnsi="Arial" w:cs="Arial"/>
          <w:b/>
        </w:rPr>
        <w:t>10</w:t>
      </w:r>
      <w:r w:rsidRPr="006637EE">
        <w:rPr>
          <w:rFonts w:ascii="Arial" w:hAnsi="Arial" w:cs="Arial"/>
          <w:b/>
        </w:rPr>
        <w:t xml:space="preserve">, </w:t>
      </w:r>
      <w:r w:rsidR="0085557F" w:rsidRPr="006637EE">
        <w:rPr>
          <w:rFonts w:ascii="Arial" w:hAnsi="Arial" w:cs="Arial"/>
          <w:b/>
        </w:rPr>
        <w:t xml:space="preserve">DE </w:t>
      </w:r>
      <w:proofErr w:type="gramStart"/>
      <w:r w:rsidR="0085557F" w:rsidRPr="006637EE">
        <w:rPr>
          <w:rFonts w:ascii="Arial" w:hAnsi="Arial" w:cs="Arial"/>
          <w:b/>
        </w:rPr>
        <w:t>9</w:t>
      </w:r>
      <w:proofErr w:type="gramEnd"/>
      <w:r w:rsidR="0085557F" w:rsidRPr="006637EE">
        <w:rPr>
          <w:rFonts w:ascii="Arial" w:hAnsi="Arial" w:cs="Arial"/>
          <w:b/>
        </w:rPr>
        <w:t xml:space="preserve"> DE DEZEMBRO DE 2014.</w:t>
      </w:r>
    </w:p>
    <w:p w:rsidR="004379F6" w:rsidRPr="006637EE" w:rsidRDefault="004379F6" w:rsidP="003037BE">
      <w:pPr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637EE">
        <w:rPr>
          <w:rFonts w:ascii="Arial" w:hAnsi="Arial" w:cs="Arial"/>
        </w:rPr>
        <w:t>Dispõe sobre o cálculo, a cobrança e o recolhimento da Taxa de Fiscalização de Serviços de Gás Canalizado, relativa ao exercício de 201</w:t>
      </w:r>
      <w:r w:rsidR="00C1010F" w:rsidRPr="006637EE">
        <w:rPr>
          <w:rFonts w:ascii="Arial" w:hAnsi="Arial" w:cs="Arial"/>
        </w:rPr>
        <w:t>5</w:t>
      </w:r>
      <w:r w:rsidRPr="006637EE">
        <w:rPr>
          <w:rFonts w:ascii="Arial" w:hAnsi="Arial" w:cs="Arial"/>
        </w:rPr>
        <w:t>.</w:t>
      </w:r>
    </w:p>
    <w:p w:rsidR="004379F6" w:rsidRPr="006637EE" w:rsidRDefault="004379F6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</w:rPr>
        <w:t>O Diretor Presidente da Agência Reguladora de Serviços Públicosdo Estado de Alagoas - ARSAL, com base na competência que lhefoi atribuída pela Lei Estadual n.º 6.267, de 20 de setembro de</w:t>
      </w:r>
      <w:r w:rsidR="003D4D3B" w:rsidRPr="006637EE">
        <w:rPr>
          <w:rFonts w:ascii="Arial" w:hAnsi="Arial" w:cs="Arial"/>
        </w:rPr>
        <w:t xml:space="preserve"> </w:t>
      </w:r>
      <w:r w:rsidRPr="006637EE">
        <w:rPr>
          <w:rFonts w:ascii="Arial" w:hAnsi="Arial" w:cs="Arial"/>
        </w:rPr>
        <w:t>2001,</w:t>
      </w:r>
      <w:r w:rsidR="003D4D3B" w:rsidRPr="006637EE">
        <w:rPr>
          <w:rFonts w:ascii="Arial" w:hAnsi="Arial" w:cs="Arial"/>
        </w:rPr>
        <w:t xml:space="preserve"> </w:t>
      </w:r>
      <w:r w:rsidRPr="006637EE">
        <w:rPr>
          <w:rFonts w:ascii="Arial" w:hAnsi="Arial" w:cs="Arial"/>
        </w:rPr>
        <w:t>com suas modificações trazidas pela Lei Estadual nº 7.151, de 05 de maio de 2010, e conforme o disposto na Lei 6.282 - A, de 31 de dezembro de 2001e, considerando que a instituição da Taxa de Fiscalização de Serviços</w:t>
      </w:r>
      <w:r w:rsidR="003D4D3B" w:rsidRPr="006637EE">
        <w:rPr>
          <w:rFonts w:ascii="Arial" w:hAnsi="Arial" w:cs="Arial"/>
        </w:rPr>
        <w:t xml:space="preserve"> </w:t>
      </w:r>
      <w:r w:rsidRPr="006637EE">
        <w:rPr>
          <w:rFonts w:ascii="Arial" w:hAnsi="Arial" w:cs="Arial"/>
        </w:rPr>
        <w:t>Públicos Delegados não impõe novos ônus para os usuários, na</w:t>
      </w:r>
      <w:r w:rsidR="003D4D3B" w:rsidRPr="006637EE">
        <w:rPr>
          <w:rFonts w:ascii="Arial" w:hAnsi="Arial" w:cs="Arial"/>
        </w:rPr>
        <w:t xml:space="preserve"> </w:t>
      </w:r>
      <w:r w:rsidRPr="006637EE">
        <w:rPr>
          <w:rFonts w:ascii="Arial" w:hAnsi="Arial" w:cs="Arial"/>
        </w:rPr>
        <w:t>medida em que é vedada a majoração de tarifas devido a sua</w:t>
      </w:r>
      <w:r w:rsidR="003D4D3B" w:rsidRPr="006637EE">
        <w:rPr>
          <w:rFonts w:ascii="Arial" w:hAnsi="Arial" w:cs="Arial"/>
        </w:rPr>
        <w:t xml:space="preserve"> </w:t>
      </w:r>
      <w:r w:rsidRPr="006637EE">
        <w:rPr>
          <w:rFonts w:ascii="Arial" w:hAnsi="Arial" w:cs="Arial"/>
        </w:rPr>
        <w:t>aplicação;</w:t>
      </w:r>
    </w:p>
    <w:p w:rsidR="004379F6" w:rsidRPr="006637EE" w:rsidRDefault="004379F6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</w:rPr>
        <w:t>RESOLVE:</w:t>
      </w:r>
    </w:p>
    <w:p w:rsidR="00CB4A0E" w:rsidRPr="006637EE" w:rsidRDefault="00EC466C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Art.</w:t>
      </w:r>
      <w:r w:rsidR="00CB4A0E" w:rsidRPr="006637EE">
        <w:rPr>
          <w:rFonts w:ascii="Arial" w:hAnsi="Arial" w:cs="Arial"/>
          <w:b/>
        </w:rPr>
        <w:t xml:space="preserve"> 1º</w:t>
      </w:r>
      <w:r w:rsidR="00CB4A0E" w:rsidRPr="006637EE">
        <w:rPr>
          <w:rFonts w:ascii="Arial" w:hAnsi="Arial" w:cs="Arial"/>
        </w:rPr>
        <w:t xml:space="preserve"> - Fixar em 0,5% (cin</w:t>
      </w:r>
      <w:r w:rsidRPr="006637EE">
        <w:rPr>
          <w:rFonts w:ascii="Arial" w:hAnsi="Arial" w:cs="Arial"/>
        </w:rPr>
        <w:t xml:space="preserve">co décimos de por cento) </w:t>
      </w:r>
      <w:r w:rsidR="00CB4A0E" w:rsidRPr="006637EE">
        <w:rPr>
          <w:rFonts w:ascii="Arial" w:hAnsi="Arial" w:cs="Arial"/>
        </w:rPr>
        <w:t>a</w:t>
      </w:r>
      <w:r w:rsidR="006637EE" w:rsidRPr="006637EE">
        <w:rPr>
          <w:rFonts w:ascii="Arial" w:hAnsi="Arial" w:cs="Arial"/>
        </w:rPr>
        <w:t xml:space="preserve"> </w:t>
      </w:r>
      <w:r w:rsidR="00CB4A0E" w:rsidRPr="006637EE">
        <w:rPr>
          <w:rFonts w:ascii="Arial" w:hAnsi="Arial" w:cs="Arial"/>
        </w:rPr>
        <w:t>Taxa de Fiscalização de Serviços Públicos Delegados - TFSPD, parao exercício de 201</w:t>
      </w:r>
      <w:r w:rsidR="00C1010F" w:rsidRPr="006637EE">
        <w:rPr>
          <w:rFonts w:ascii="Arial" w:hAnsi="Arial" w:cs="Arial"/>
        </w:rPr>
        <w:t>5</w:t>
      </w:r>
      <w:r w:rsidR="00CB4A0E" w:rsidRPr="006637EE">
        <w:rPr>
          <w:rFonts w:ascii="Arial" w:hAnsi="Arial" w:cs="Arial"/>
        </w:rPr>
        <w:t>, a ser paga em duodécimos pela ALGÁS.</w:t>
      </w:r>
    </w:p>
    <w:p w:rsidR="00CB4A0E" w:rsidRPr="006637EE" w:rsidRDefault="00EC466C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§</w:t>
      </w:r>
      <w:r w:rsidR="00CB4A0E" w:rsidRPr="006637EE">
        <w:rPr>
          <w:rFonts w:ascii="Arial" w:hAnsi="Arial" w:cs="Arial"/>
          <w:b/>
        </w:rPr>
        <w:t xml:space="preserve"> 1º</w:t>
      </w:r>
      <w:r w:rsidR="00CB4A0E" w:rsidRPr="006637EE">
        <w:rPr>
          <w:rFonts w:ascii="Arial" w:hAnsi="Arial" w:cs="Arial"/>
        </w:rPr>
        <w:t xml:space="preserve"> - A apuração do valor proveniente da aplicação da</w:t>
      </w:r>
      <w:r w:rsidR="00864E56">
        <w:rPr>
          <w:rFonts w:ascii="Arial" w:hAnsi="Arial" w:cs="Arial"/>
        </w:rPr>
        <w:t xml:space="preserve"> </w:t>
      </w:r>
      <w:r w:rsidR="00CB4A0E" w:rsidRPr="006637EE">
        <w:rPr>
          <w:rFonts w:ascii="Arial" w:hAnsi="Arial" w:cs="Arial"/>
        </w:rPr>
        <w:t>TFSPD, prevista no "caput" deste artigo, tem como base a Receita</w:t>
      </w:r>
      <w:r w:rsidR="00D73931">
        <w:rPr>
          <w:rFonts w:ascii="Arial" w:hAnsi="Arial" w:cs="Arial"/>
        </w:rPr>
        <w:t xml:space="preserve"> </w:t>
      </w:r>
      <w:r w:rsidR="00CB4A0E" w:rsidRPr="006637EE">
        <w:rPr>
          <w:rFonts w:ascii="Arial" w:hAnsi="Arial" w:cs="Arial"/>
        </w:rPr>
        <w:t>Líquida referente ao 1º semestre, constante das demonstraçõescontábeis de 201</w:t>
      </w:r>
      <w:r w:rsidR="00257CE6" w:rsidRPr="006637EE">
        <w:rPr>
          <w:rFonts w:ascii="Arial" w:hAnsi="Arial" w:cs="Arial"/>
        </w:rPr>
        <w:t>4</w:t>
      </w:r>
      <w:r w:rsidR="00CB4A0E" w:rsidRPr="006637EE">
        <w:rPr>
          <w:rFonts w:ascii="Arial" w:hAnsi="Arial" w:cs="Arial"/>
        </w:rPr>
        <w:t>, conforme anexo desta Portaria.</w:t>
      </w:r>
    </w:p>
    <w:p w:rsidR="00CB4A0E" w:rsidRPr="006637EE" w:rsidRDefault="00EC466C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§</w:t>
      </w:r>
      <w:r w:rsidR="00CB4A0E" w:rsidRPr="006637EE">
        <w:rPr>
          <w:rFonts w:ascii="Arial" w:hAnsi="Arial" w:cs="Arial"/>
          <w:b/>
        </w:rPr>
        <w:t xml:space="preserve"> 2º</w:t>
      </w:r>
      <w:r w:rsidR="00CB4A0E" w:rsidRPr="006637EE">
        <w:rPr>
          <w:rFonts w:ascii="Arial" w:hAnsi="Arial" w:cs="Arial"/>
        </w:rPr>
        <w:t xml:space="preserve"> - </w:t>
      </w:r>
      <w:proofErr w:type="gramStart"/>
      <w:r w:rsidR="00CB4A0E" w:rsidRPr="006637EE">
        <w:rPr>
          <w:rFonts w:ascii="Arial" w:hAnsi="Arial" w:cs="Arial"/>
        </w:rPr>
        <w:t>Considera-se</w:t>
      </w:r>
      <w:proofErr w:type="gramEnd"/>
      <w:r w:rsidR="00CB4A0E" w:rsidRPr="006637EE">
        <w:rPr>
          <w:rFonts w:ascii="Arial" w:hAnsi="Arial" w:cs="Arial"/>
        </w:rPr>
        <w:t xml:space="preserve"> Receita Líquida Anual, para fins deaplicação da TFSPD, aquela oriunda do faturamento dos titulares deconcessões, permissões ou autorizações, excluídos os valores dostributos incidentes no processo de faturamento.</w:t>
      </w:r>
    </w:p>
    <w:p w:rsidR="00CB4A0E" w:rsidRPr="006637EE" w:rsidRDefault="00EC466C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Art.</w:t>
      </w:r>
      <w:r w:rsidR="00CB4A0E" w:rsidRPr="006637EE">
        <w:rPr>
          <w:rFonts w:ascii="Arial" w:hAnsi="Arial" w:cs="Arial"/>
          <w:b/>
        </w:rPr>
        <w:t xml:space="preserve"> 2º</w:t>
      </w:r>
      <w:r w:rsidR="00CB4A0E" w:rsidRPr="006637EE">
        <w:rPr>
          <w:rFonts w:ascii="Arial" w:hAnsi="Arial" w:cs="Arial"/>
        </w:rPr>
        <w:t xml:space="preserve"> - Fixar, para o primeiro semestre de 201</w:t>
      </w:r>
      <w:r w:rsidR="00183EA3" w:rsidRPr="006637EE">
        <w:rPr>
          <w:rFonts w:ascii="Arial" w:hAnsi="Arial" w:cs="Arial"/>
        </w:rPr>
        <w:t>5</w:t>
      </w:r>
      <w:r w:rsidR="00CB4A0E" w:rsidRPr="006637EE">
        <w:rPr>
          <w:rFonts w:ascii="Arial" w:hAnsi="Arial" w:cs="Arial"/>
        </w:rPr>
        <w:t>, os valores aserem recolhidos a título da TFSPD, conforme demonstrado noanexo desta portaria.</w:t>
      </w:r>
    </w:p>
    <w:p w:rsidR="00CB4A0E" w:rsidRPr="006637EE" w:rsidRDefault="00CB4A0E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Parágrafo Único</w:t>
      </w:r>
      <w:r w:rsidRPr="006637EE">
        <w:rPr>
          <w:rFonts w:ascii="Arial" w:hAnsi="Arial" w:cs="Arial"/>
        </w:rPr>
        <w:t xml:space="preserve"> – Após publicação das demonstrações contábeisanuais de 201</w:t>
      </w:r>
      <w:r w:rsidR="009E1AFC" w:rsidRPr="006637EE">
        <w:rPr>
          <w:rFonts w:ascii="Arial" w:hAnsi="Arial" w:cs="Arial"/>
        </w:rPr>
        <w:t>4</w:t>
      </w:r>
      <w:r w:rsidRPr="006637EE">
        <w:rPr>
          <w:rFonts w:ascii="Arial" w:hAnsi="Arial" w:cs="Arial"/>
        </w:rPr>
        <w:t>, conforme legislação pertinente, a ARSAL fixará os</w:t>
      </w:r>
      <w:r w:rsidR="002E02DC">
        <w:rPr>
          <w:rFonts w:ascii="Arial" w:hAnsi="Arial" w:cs="Arial"/>
        </w:rPr>
        <w:t xml:space="preserve"> </w:t>
      </w:r>
      <w:r w:rsidRPr="006637EE">
        <w:rPr>
          <w:rFonts w:ascii="Arial" w:hAnsi="Arial" w:cs="Arial"/>
        </w:rPr>
        <w:t>recolhimentos para o segundo semestre de 201</w:t>
      </w:r>
      <w:r w:rsidR="00DB6CA6" w:rsidRPr="006637EE">
        <w:rPr>
          <w:rFonts w:ascii="Arial" w:hAnsi="Arial" w:cs="Arial"/>
        </w:rPr>
        <w:t>5</w:t>
      </w:r>
      <w:r w:rsidRPr="006637EE">
        <w:rPr>
          <w:rFonts w:ascii="Arial" w:hAnsi="Arial" w:cs="Arial"/>
        </w:rPr>
        <w:t>, promovendo ascompensações necessárias.</w:t>
      </w:r>
    </w:p>
    <w:p w:rsidR="00CB4A0E" w:rsidRPr="006637EE" w:rsidRDefault="00EC466C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Art.</w:t>
      </w:r>
      <w:r w:rsidR="00CB4A0E" w:rsidRPr="006637EE">
        <w:rPr>
          <w:rFonts w:ascii="Arial" w:hAnsi="Arial" w:cs="Arial"/>
          <w:b/>
        </w:rPr>
        <w:t xml:space="preserve"> 3º</w:t>
      </w:r>
      <w:r w:rsidR="00CB4A0E" w:rsidRPr="006637EE">
        <w:rPr>
          <w:rFonts w:ascii="Arial" w:hAnsi="Arial" w:cs="Arial"/>
        </w:rPr>
        <w:t xml:space="preserve"> - Os valores devidos, relativos à TFSPD e discriminadosno anexo desta portaria, serão recolhidos em duodécimos, por meiode boleto bancário a ser enviado pela Agência Reguladora de</w:t>
      </w:r>
      <w:r w:rsidR="00864E56">
        <w:rPr>
          <w:rFonts w:ascii="Arial" w:hAnsi="Arial" w:cs="Arial"/>
        </w:rPr>
        <w:t xml:space="preserve"> </w:t>
      </w:r>
      <w:r w:rsidR="00CB4A0E" w:rsidRPr="006637EE">
        <w:rPr>
          <w:rFonts w:ascii="Arial" w:hAnsi="Arial" w:cs="Arial"/>
        </w:rPr>
        <w:t>Serviços Públicos do Estado de Alagoas – ARSAL, à ALGÁS até oquinto dia de cada mês, sendo vedado o uso de quaisquer outrasformas de pagamento.</w:t>
      </w:r>
    </w:p>
    <w:p w:rsidR="00CB4A0E" w:rsidRPr="006637EE" w:rsidRDefault="00CB4A0E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 xml:space="preserve">Parágrafo </w:t>
      </w:r>
      <w:r w:rsidR="00A310A6" w:rsidRPr="006637EE">
        <w:rPr>
          <w:rFonts w:ascii="Arial" w:hAnsi="Arial" w:cs="Arial"/>
          <w:b/>
        </w:rPr>
        <w:t>Único</w:t>
      </w:r>
      <w:r w:rsidRPr="006637EE">
        <w:rPr>
          <w:rFonts w:ascii="Arial" w:hAnsi="Arial" w:cs="Arial"/>
        </w:rPr>
        <w:t xml:space="preserve"> - É facultado ao fiscalizado antecipar, total ouparcialmente, pagamentos das quotas mensais da TFSPD que lhe</w:t>
      </w:r>
      <w:r w:rsidR="00864E56">
        <w:rPr>
          <w:rFonts w:ascii="Arial" w:hAnsi="Arial" w:cs="Arial"/>
        </w:rPr>
        <w:t xml:space="preserve"> </w:t>
      </w:r>
      <w:r w:rsidRPr="006637EE">
        <w:rPr>
          <w:rFonts w:ascii="Arial" w:hAnsi="Arial" w:cs="Arial"/>
        </w:rPr>
        <w:t>forem atribuídos.</w:t>
      </w:r>
    </w:p>
    <w:p w:rsidR="00CB4A0E" w:rsidRPr="006637EE" w:rsidRDefault="00EC466C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Art.</w:t>
      </w:r>
      <w:r w:rsidR="00CB4A0E" w:rsidRPr="006637EE">
        <w:rPr>
          <w:rFonts w:ascii="Arial" w:hAnsi="Arial" w:cs="Arial"/>
          <w:b/>
        </w:rPr>
        <w:t xml:space="preserve"> 4º</w:t>
      </w:r>
      <w:r w:rsidR="00CB4A0E" w:rsidRPr="006637EE">
        <w:rPr>
          <w:rFonts w:ascii="Arial" w:hAnsi="Arial" w:cs="Arial"/>
        </w:rPr>
        <w:t xml:space="preserve"> - Na hipótese de atraso no pagamento, será aplicada multade 10% (dez por cento)</w:t>
      </w:r>
      <w:r w:rsidR="00010300" w:rsidRPr="006637EE">
        <w:rPr>
          <w:rFonts w:ascii="Arial" w:hAnsi="Arial" w:cs="Arial"/>
        </w:rPr>
        <w:t>, e, a partir da data do vencimento até o efetivo pagamento, taxa de juros moratórios diárias de 0,033% (trinta e três milésimos de por cento), incidentes sobre o valor de cada quota.</w:t>
      </w:r>
    </w:p>
    <w:p w:rsidR="00CB4A0E" w:rsidRPr="006637EE" w:rsidRDefault="00EC466C" w:rsidP="006637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37EE">
        <w:rPr>
          <w:rFonts w:ascii="Arial" w:hAnsi="Arial" w:cs="Arial"/>
          <w:b/>
        </w:rPr>
        <w:t>Art.</w:t>
      </w:r>
      <w:r w:rsidR="00CB4A0E" w:rsidRPr="006637EE">
        <w:rPr>
          <w:rFonts w:ascii="Arial" w:hAnsi="Arial" w:cs="Arial"/>
          <w:b/>
        </w:rPr>
        <w:t xml:space="preserve"> 5º</w:t>
      </w:r>
      <w:r w:rsidR="00CB4A0E" w:rsidRPr="006637EE">
        <w:rPr>
          <w:rFonts w:ascii="Arial" w:hAnsi="Arial" w:cs="Arial"/>
        </w:rPr>
        <w:t xml:space="preserve"> - Esta portaria entrará em vigor na data da sua publicação.</w:t>
      </w:r>
    </w:p>
    <w:p w:rsidR="00CB4A0E" w:rsidRPr="006637EE" w:rsidRDefault="00CB4A0E" w:rsidP="006637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6637EE">
        <w:rPr>
          <w:rFonts w:ascii="Arial" w:hAnsi="Arial" w:cs="Arial"/>
        </w:rPr>
        <w:t>Waldo Wanderley</w:t>
      </w:r>
      <w:r w:rsidR="00192F5E">
        <w:rPr>
          <w:rFonts w:ascii="Arial" w:hAnsi="Arial" w:cs="Arial"/>
        </w:rPr>
        <w:t xml:space="preserve"> (</w:t>
      </w:r>
      <w:r w:rsidRPr="006637EE">
        <w:rPr>
          <w:rFonts w:ascii="Arial" w:hAnsi="Arial" w:cs="Arial"/>
        </w:rPr>
        <w:t>Presidente</w:t>
      </w:r>
      <w:r w:rsidR="00192F5E">
        <w:rPr>
          <w:rFonts w:ascii="Arial" w:hAnsi="Arial" w:cs="Arial"/>
        </w:rPr>
        <w:t>)</w:t>
      </w:r>
    </w:p>
    <w:p w:rsidR="007829D8" w:rsidRPr="006637EE" w:rsidRDefault="007829D8" w:rsidP="006637EE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CB4A0E" w:rsidRPr="006637EE" w:rsidRDefault="00CB4A0E" w:rsidP="006637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637EE">
        <w:rPr>
          <w:rFonts w:ascii="Arial" w:hAnsi="Arial" w:cs="Arial"/>
          <w:b/>
        </w:rPr>
        <w:t>ANEXO</w:t>
      </w:r>
      <w:r w:rsidR="00245EF2" w:rsidRPr="006637EE">
        <w:rPr>
          <w:rFonts w:ascii="Arial" w:hAnsi="Arial" w:cs="Arial"/>
          <w:b/>
        </w:rPr>
        <w:t xml:space="preserve"> ÚNICO</w:t>
      </w:r>
      <w:r w:rsidRPr="006637EE">
        <w:rPr>
          <w:rFonts w:ascii="Arial" w:hAnsi="Arial" w:cs="Arial"/>
          <w:b/>
        </w:rPr>
        <w:t xml:space="preserve"> À PORTARIA</w:t>
      </w:r>
      <w:r w:rsidR="00245EF2" w:rsidRPr="006637EE">
        <w:rPr>
          <w:rFonts w:ascii="Arial" w:hAnsi="Arial" w:cs="Arial"/>
          <w:b/>
        </w:rPr>
        <w:t xml:space="preserve"> Nº </w:t>
      </w:r>
      <w:r w:rsidR="00C33B58">
        <w:rPr>
          <w:rFonts w:ascii="Arial" w:hAnsi="Arial" w:cs="Arial"/>
          <w:b/>
        </w:rPr>
        <w:t>10</w:t>
      </w:r>
      <w:r w:rsidR="00514C08">
        <w:rPr>
          <w:rFonts w:ascii="Arial" w:hAnsi="Arial" w:cs="Arial"/>
          <w:b/>
        </w:rPr>
        <w:t>,</w:t>
      </w:r>
      <w:r w:rsidR="00192F5E">
        <w:rPr>
          <w:rFonts w:ascii="Arial" w:hAnsi="Arial" w:cs="Arial"/>
          <w:b/>
        </w:rPr>
        <w:t xml:space="preserve"> DE </w:t>
      </w:r>
      <w:proofErr w:type="gramStart"/>
      <w:r w:rsidR="00192F5E">
        <w:rPr>
          <w:rFonts w:ascii="Arial" w:hAnsi="Arial" w:cs="Arial"/>
          <w:b/>
        </w:rPr>
        <w:t>9</w:t>
      </w:r>
      <w:proofErr w:type="gramEnd"/>
      <w:r w:rsidRPr="006637EE">
        <w:rPr>
          <w:rFonts w:ascii="Arial" w:hAnsi="Arial" w:cs="Arial"/>
          <w:b/>
        </w:rPr>
        <w:t xml:space="preserve">, </w:t>
      </w:r>
      <w:r w:rsidR="00192F5E" w:rsidRPr="006637EE">
        <w:rPr>
          <w:rFonts w:ascii="Arial" w:hAnsi="Arial" w:cs="Arial"/>
          <w:b/>
        </w:rPr>
        <w:t xml:space="preserve">DE </w:t>
      </w:r>
      <w:r w:rsidR="00192F5E">
        <w:rPr>
          <w:rFonts w:ascii="Arial" w:hAnsi="Arial" w:cs="Arial"/>
          <w:b/>
        </w:rPr>
        <w:t>DEZEMBRO DE 2014</w:t>
      </w:r>
      <w:r w:rsidR="00814304" w:rsidRPr="006637EE">
        <w:rPr>
          <w:rFonts w:ascii="Arial" w:hAnsi="Arial" w:cs="Arial"/>
          <w:b/>
        </w:rPr>
        <w:t>.</w:t>
      </w:r>
    </w:p>
    <w:tbl>
      <w:tblPr>
        <w:tblW w:w="5619" w:type="dxa"/>
        <w:jc w:val="center"/>
        <w:tblInd w:w="-617" w:type="dxa"/>
        <w:tblCellMar>
          <w:left w:w="70" w:type="dxa"/>
          <w:right w:w="70" w:type="dxa"/>
        </w:tblCellMar>
        <w:tblLook w:val="04A0"/>
      </w:tblPr>
      <w:tblGrid>
        <w:gridCol w:w="1711"/>
        <w:gridCol w:w="1898"/>
        <w:gridCol w:w="2010"/>
      </w:tblGrid>
      <w:tr w:rsidR="00F83D6A" w:rsidRPr="006637EE" w:rsidTr="003F403F">
        <w:trPr>
          <w:trHeight w:val="300"/>
          <w:jc w:val="center"/>
        </w:trPr>
        <w:tc>
          <w:tcPr>
            <w:tcW w:w="56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  <w:lang w:eastAsia="pt-BR"/>
              </w:rPr>
            </w:pPr>
            <w:r w:rsidRPr="006637EE">
              <w:rPr>
                <w:rFonts w:ascii="Arial" w:eastAsia="Times New Roman" w:hAnsi="Arial" w:cs="Arial"/>
                <w:b/>
                <w:color w:val="000000"/>
                <w:u w:val="single"/>
                <w:lang w:eastAsia="pt-BR"/>
              </w:rPr>
              <w:t>VALORES DE TAXA DE FISCALIZAÇÃO DE SERVIÇOS PÚBLICOS DELEGADOS PARA O EXERCÍCIO DE 201</w:t>
            </w:r>
            <w:r w:rsidR="007772E9" w:rsidRPr="006637EE">
              <w:rPr>
                <w:rFonts w:ascii="Arial" w:eastAsia="Times New Roman" w:hAnsi="Arial" w:cs="Arial"/>
                <w:b/>
                <w:color w:val="000000"/>
                <w:u w:val="single"/>
                <w:lang w:eastAsia="pt-BR"/>
              </w:rPr>
              <w:t>5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Parcela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Vencimento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Valor (R$)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10/</w:t>
            </w:r>
            <w:r w:rsidR="0090618B" w:rsidRPr="006637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1/201</w:t>
            </w:r>
            <w:r w:rsidR="003E58D9" w:rsidRPr="006637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84.111,96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2º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10/</w:t>
            </w:r>
            <w:r w:rsidR="0090618B" w:rsidRPr="006637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2/201</w:t>
            </w:r>
            <w:r w:rsidR="003E58D9" w:rsidRPr="006637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84.111,96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3º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10/</w:t>
            </w:r>
            <w:r w:rsidR="0090618B" w:rsidRPr="006637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3/201</w:t>
            </w:r>
            <w:r w:rsidR="003E58D9" w:rsidRPr="006637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84.111,96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10/</w:t>
            </w:r>
            <w:r w:rsidR="0090618B" w:rsidRPr="006637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4/201</w:t>
            </w:r>
            <w:r w:rsidR="003E58D9" w:rsidRPr="006637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84.111,96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5º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10/</w:t>
            </w:r>
            <w:r w:rsidR="0090618B" w:rsidRPr="006637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5/201</w:t>
            </w:r>
            <w:r w:rsidR="00BA1910" w:rsidRPr="006637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84.111,96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6º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10/</w:t>
            </w:r>
            <w:r w:rsidR="0090618B" w:rsidRPr="006637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6/201</w:t>
            </w:r>
            <w:r w:rsidR="00BA1910" w:rsidRPr="006637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84.111,96</w:t>
            </w:r>
          </w:p>
        </w:tc>
      </w:tr>
      <w:tr w:rsidR="00F83D6A" w:rsidRPr="006637EE" w:rsidTr="003F403F">
        <w:trPr>
          <w:trHeight w:val="315"/>
          <w:jc w:val="center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TOTAL A RECOLHER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R$ 504.671,79</w:t>
            </w:r>
          </w:p>
        </w:tc>
      </w:tr>
    </w:tbl>
    <w:p w:rsidR="00F83D6A" w:rsidRPr="006637EE" w:rsidRDefault="00F83D6A" w:rsidP="006637EE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tbl>
      <w:tblPr>
        <w:tblW w:w="6416" w:type="dxa"/>
        <w:jc w:val="center"/>
        <w:tblInd w:w="-1089" w:type="dxa"/>
        <w:tblCellMar>
          <w:left w:w="70" w:type="dxa"/>
          <w:right w:w="70" w:type="dxa"/>
        </w:tblCellMar>
        <w:tblLook w:val="04A0"/>
      </w:tblPr>
      <w:tblGrid>
        <w:gridCol w:w="4924"/>
        <w:gridCol w:w="1670"/>
      </w:tblGrid>
      <w:tr w:rsidR="00F83D6A" w:rsidRPr="006637EE" w:rsidTr="003F403F">
        <w:trPr>
          <w:trHeight w:val="300"/>
          <w:jc w:val="center"/>
        </w:trPr>
        <w:tc>
          <w:tcPr>
            <w:tcW w:w="6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6637E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DEMONSTRATIVO DE CÁLCULO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RECEITA OPERACIONAL BRUTA (jan - jun/201</w:t>
            </w:r>
            <w:r w:rsidR="00BA1910" w:rsidRPr="006637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7C69F4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119.538.374,27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Conforme </w:t>
            </w:r>
            <w:r w:rsidR="00804485" w:rsidRPr="006637EE">
              <w:rPr>
                <w:rFonts w:ascii="Arial" w:eastAsia="Times New Roman" w:hAnsi="Arial" w:cs="Arial"/>
                <w:color w:val="000000"/>
                <w:lang w:eastAsia="pt-BR"/>
              </w:rPr>
              <w:t>Balancete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Verificação emitido pela ALGÁS em </w:t>
            </w:r>
            <w:r w:rsidR="009A5988" w:rsidRPr="006637EE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/0</w:t>
            </w:r>
            <w:r w:rsidR="009A5988" w:rsidRPr="006637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/201</w:t>
            </w:r>
            <w:r w:rsidR="005B0AEC" w:rsidRPr="006637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 xml:space="preserve">(-) Deduções </w:t>
            </w:r>
            <w:r w:rsidR="00E24DE6" w:rsidRPr="006637EE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ributárias (PIS, COFINS, ICMS, ISS)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A140A0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="007C69F4" w:rsidRPr="006637EE">
              <w:rPr>
                <w:rFonts w:ascii="Arial" w:eastAsia="Times New Roman" w:hAnsi="Arial" w:cs="Arial"/>
                <w:color w:val="000000"/>
                <w:lang w:eastAsia="pt-BR"/>
              </w:rPr>
              <w:t>18.565.159,36</w:t>
            </w:r>
          </w:p>
        </w:tc>
      </w:tr>
      <w:tr w:rsidR="00814304" w:rsidRPr="006637EE" w:rsidTr="003F403F">
        <w:trPr>
          <w:trHeight w:val="30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04" w:rsidRPr="006637EE" w:rsidRDefault="00814304" w:rsidP="006637EE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(-) Vendas Canceladas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304" w:rsidRPr="006637EE" w:rsidRDefault="00A140A0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="007C69F4" w:rsidRPr="006637EE">
              <w:rPr>
                <w:rFonts w:ascii="Arial" w:eastAsia="Times New Roman" w:hAnsi="Arial" w:cs="Arial"/>
                <w:color w:val="000000"/>
                <w:lang w:eastAsia="pt-BR"/>
              </w:rPr>
              <w:t>38.857,78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= RECEITA OPERACIONAL LÍQUIDA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100.934.357,13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TAXA DE FISCALIZAÇÃO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0,5%</w:t>
            </w:r>
          </w:p>
        </w:tc>
      </w:tr>
      <w:tr w:rsidR="00F83D6A" w:rsidRPr="006637EE" w:rsidTr="003F403F">
        <w:trPr>
          <w:trHeight w:val="30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= VALOR P/ O 1º SEMESTRE DA TAXA DE FISCALIZAÇÃO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color w:val="000000"/>
                <w:lang w:eastAsia="pt-BR"/>
              </w:rPr>
              <w:t>504.671,79</w:t>
            </w:r>
          </w:p>
        </w:tc>
      </w:tr>
      <w:tr w:rsidR="00F83D6A" w:rsidRPr="006637EE" w:rsidTr="003F403F">
        <w:trPr>
          <w:trHeight w:val="315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F83D6A" w:rsidP="006637EE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DA PARCELA MENSAL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D6A" w:rsidRPr="006637EE" w:rsidRDefault="005C7DDA" w:rsidP="006637E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637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R$ 84.111,96</w:t>
            </w:r>
          </w:p>
        </w:tc>
      </w:tr>
    </w:tbl>
    <w:p w:rsidR="00F83D6A" w:rsidRPr="006637EE" w:rsidRDefault="00F83D6A" w:rsidP="006637EE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sectPr w:rsidR="00F83D6A" w:rsidRPr="006637EE" w:rsidSect="003F403F">
      <w:pgSz w:w="11906" w:h="16838"/>
      <w:pgMar w:top="1134" w:right="31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A0E"/>
    <w:rsid w:val="00010300"/>
    <w:rsid w:val="00025F24"/>
    <w:rsid w:val="000D187F"/>
    <w:rsid w:val="001129AB"/>
    <w:rsid w:val="0015088D"/>
    <w:rsid w:val="00183EA3"/>
    <w:rsid w:val="00192F5E"/>
    <w:rsid w:val="001E7A3E"/>
    <w:rsid w:val="00202320"/>
    <w:rsid w:val="00245EF2"/>
    <w:rsid w:val="00257CE6"/>
    <w:rsid w:val="002A3738"/>
    <w:rsid w:val="002C1108"/>
    <w:rsid w:val="002E02DC"/>
    <w:rsid w:val="003037BE"/>
    <w:rsid w:val="00373B55"/>
    <w:rsid w:val="003D4D3B"/>
    <w:rsid w:val="003E58D9"/>
    <w:rsid w:val="003F403F"/>
    <w:rsid w:val="00437555"/>
    <w:rsid w:val="004379F6"/>
    <w:rsid w:val="00514C08"/>
    <w:rsid w:val="0057036D"/>
    <w:rsid w:val="005A5F03"/>
    <w:rsid w:val="005B0AEC"/>
    <w:rsid w:val="005B5614"/>
    <w:rsid w:val="005C7DDA"/>
    <w:rsid w:val="005D0BB8"/>
    <w:rsid w:val="005F531D"/>
    <w:rsid w:val="00612716"/>
    <w:rsid w:val="006637EE"/>
    <w:rsid w:val="00666CDE"/>
    <w:rsid w:val="00667B61"/>
    <w:rsid w:val="0067457C"/>
    <w:rsid w:val="006A306F"/>
    <w:rsid w:val="006A52A9"/>
    <w:rsid w:val="006B54AE"/>
    <w:rsid w:val="006C2A50"/>
    <w:rsid w:val="006D7C3D"/>
    <w:rsid w:val="006F192A"/>
    <w:rsid w:val="00716390"/>
    <w:rsid w:val="007772E9"/>
    <w:rsid w:val="007804EE"/>
    <w:rsid w:val="007829D8"/>
    <w:rsid w:val="007C69F4"/>
    <w:rsid w:val="007F19AA"/>
    <w:rsid w:val="00801594"/>
    <w:rsid w:val="00804485"/>
    <w:rsid w:val="00814304"/>
    <w:rsid w:val="00823694"/>
    <w:rsid w:val="0085557F"/>
    <w:rsid w:val="00864E56"/>
    <w:rsid w:val="00871C03"/>
    <w:rsid w:val="00876F1E"/>
    <w:rsid w:val="008A6D75"/>
    <w:rsid w:val="008B6BBD"/>
    <w:rsid w:val="008F2985"/>
    <w:rsid w:val="0090618B"/>
    <w:rsid w:val="00927D1C"/>
    <w:rsid w:val="00946BBB"/>
    <w:rsid w:val="00951C40"/>
    <w:rsid w:val="009A2F28"/>
    <w:rsid w:val="009A5988"/>
    <w:rsid w:val="009E1AFC"/>
    <w:rsid w:val="00A04F71"/>
    <w:rsid w:val="00A140A0"/>
    <w:rsid w:val="00A310A6"/>
    <w:rsid w:val="00A541CA"/>
    <w:rsid w:val="00A81343"/>
    <w:rsid w:val="00B728CB"/>
    <w:rsid w:val="00BA1910"/>
    <w:rsid w:val="00BB3F4D"/>
    <w:rsid w:val="00C1010F"/>
    <w:rsid w:val="00C33B58"/>
    <w:rsid w:val="00C55F5A"/>
    <w:rsid w:val="00CB326F"/>
    <w:rsid w:val="00CB4A0E"/>
    <w:rsid w:val="00D20D7F"/>
    <w:rsid w:val="00D42F82"/>
    <w:rsid w:val="00D46AA9"/>
    <w:rsid w:val="00D5431B"/>
    <w:rsid w:val="00D62ABB"/>
    <w:rsid w:val="00D73931"/>
    <w:rsid w:val="00DB6CA6"/>
    <w:rsid w:val="00E24DE6"/>
    <w:rsid w:val="00E53ED7"/>
    <w:rsid w:val="00E60EFE"/>
    <w:rsid w:val="00E67101"/>
    <w:rsid w:val="00E9097B"/>
    <w:rsid w:val="00EC466C"/>
    <w:rsid w:val="00EE52BD"/>
    <w:rsid w:val="00F636B0"/>
    <w:rsid w:val="00F83D6A"/>
    <w:rsid w:val="00F944FF"/>
    <w:rsid w:val="00FD29C7"/>
    <w:rsid w:val="00FE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1E7A3E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9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Tito</dc:creator>
  <cp:lastModifiedBy>addison</cp:lastModifiedBy>
  <cp:revision>2</cp:revision>
  <cp:lastPrinted>2014-12-10T13:51:00Z</cp:lastPrinted>
  <dcterms:created xsi:type="dcterms:W3CDTF">2014-12-15T14:56:00Z</dcterms:created>
  <dcterms:modified xsi:type="dcterms:W3CDTF">2014-12-15T14:56:00Z</dcterms:modified>
</cp:coreProperties>
</file>